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E80F" w14:textId="77777777" w:rsidR="00567723" w:rsidRDefault="006C3371">
      <w:pPr>
        <w:pStyle w:val="1"/>
        <w:tabs>
          <w:tab w:val="left" w:pos="993"/>
        </w:tabs>
        <w:rPr>
          <w:sz w:val="32"/>
        </w:rPr>
      </w:pPr>
      <w:r>
        <w:rPr>
          <w:rFonts w:hint="eastAsia"/>
          <w:sz w:val="32"/>
        </w:rPr>
        <w:t>西南交通大学心理研究与咨询中心研究生</w:t>
      </w:r>
    </w:p>
    <w:p w14:paraId="6C8490F1" w14:textId="0DF5CA63" w:rsidR="00567723" w:rsidRDefault="006C3371">
      <w:pPr>
        <w:pStyle w:val="1"/>
        <w:tabs>
          <w:tab w:val="left" w:pos="993"/>
        </w:tabs>
        <w:rPr>
          <w:sz w:val="32"/>
        </w:rPr>
      </w:pPr>
      <w:r>
        <w:rPr>
          <w:rFonts w:hint="eastAsia"/>
          <w:sz w:val="32"/>
        </w:rPr>
        <w:t>奖学金评定细则</w:t>
      </w:r>
    </w:p>
    <w:p w14:paraId="34B95361" w14:textId="77777777" w:rsidR="00567723" w:rsidRDefault="00567723" w:rsidP="005125C9">
      <w:pPr>
        <w:ind w:firstLine="480"/>
      </w:pPr>
    </w:p>
    <w:p w14:paraId="44C08462" w14:textId="23E196E9"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为鼓励研究生勤奋学习、潜心科研、勇于创新、积极进取，</w:t>
      </w:r>
      <w:r>
        <w:rPr>
          <w:rFonts w:ascii="STFangsong" w:eastAsia="STFangsong" w:hAnsi="STFangsong"/>
        </w:rPr>
        <w:t>充分调动广大研究生学习、科研积极性，</w:t>
      </w:r>
      <w:r>
        <w:rPr>
          <w:rFonts w:ascii="STFangsong" w:eastAsia="STFangsong" w:hAnsi="STFangsong" w:hint="eastAsia"/>
        </w:rPr>
        <w:t>表彰奖励</w:t>
      </w:r>
      <w:r>
        <w:rPr>
          <w:rFonts w:ascii="STFangsong" w:eastAsia="STFangsong" w:hAnsi="STFangsong"/>
        </w:rPr>
        <w:t>在</w:t>
      </w:r>
      <w:r>
        <w:rPr>
          <w:rFonts w:ascii="STFangsong" w:eastAsia="STFangsong" w:hAnsi="STFangsong" w:hint="eastAsia"/>
        </w:rPr>
        <w:t>思想道德</w:t>
      </w:r>
      <w:r>
        <w:rPr>
          <w:rFonts w:ascii="STFangsong" w:eastAsia="STFangsong" w:hAnsi="STFangsong"/>
        </w:rPr>
        <w:t>、专业学习、科研实践和社会工作等方面全面发展</w:t>
      </w:r>
      <w:r>
        <w:rPr>
          <w:rFonts w:ascii="STFangsong" w:eastAsia="STFangsong" w:hAnsi="STFangsong" w:hint="eastAsia"/>
        </w:rPr>
        <w:t>并取得突出成绩的优秀</w:t>
      </w:r>
      <w:r>
        <w:rPr>
          <w:rFonts w:ascii="STFangsong" w:eastAsia="STFangsong" w:hAnsi="STFangsong"/>
        </w:rPr>
        <w:t>研究生</w:t>
      </w:r>
      <w:r>
        <w:rPr>
          <w:rFonts w:ascii="STFangsong" w:eastAsia="STFangsong" w:hAnsi="STFangsong" w:hint="eastAsia"/>
        </w:rPr>
        <w:t>，根据《西南交通大学研究生奖助体系管理暂行办法》（西交校</w:t>
      </w:r>
      <w:proofErr w:type="gramStart"/>
      <w:r>
        <w:rPr>
          <w:rFonts w:ascii="STFangsong" w:eastAsia="STFangsong" w:hAnsi="STFangsong" w:hint="eastAsia"/>
        </w:rPr>
        <w:t>研</w:t>
      </w:r>
      <w:proofErr w:type="gramEnd"/>
      <w:r>
        <w:rPr>
          <w:rFonts w:ascii="STFangsong" w:eastAsia="STFangsong" w:hAnsi="STFangsong" w:hint="eastAsia"/>
        </w:rPr>
        <w:t>﹝2014﹞10号）文件精神，结合心理研究与咨询中心</w:t>
      </w:r>
      <w:r w:rsidR="00AB734F">
        <w:rPr>
          <w:rFonts w:ascii="STFangsong" w:eastAsia="STFangsong" w:hAnsi="STFangsong" w:hint="eastAsia"/>
        </w:rPr>
        <w:t>（以下简称为“心理中心”及“中心”）</w:t>
      </w:r>
      <w:r>
        <w:rPr>
          <w:rFonts w:ascii="STFangsong" w:eastAsia="STFangsong" w:hAnsi="STFangsong" w:hint="eastAsia"/>
        </w:rPr>
        <w:t>实际情况，特制</w:t>
      </w:r>
      <w:proofErr w:type="gramStart"/>
      <w:r>
        <w:rPr>
          <w:rFonts w:ascii="STFangsong" w:eastAsia="STFangsong" w:hAnsi="STFangsong" w:hint="eastAsia"/>
        </w:rPr>
        <w:t>定</w:t>
      </w:r>
      <w:r w:rsidR="005125C9">
        <w:rPr>
          <w:rFonts w:ascii="STFangsong" w:eastAsia="STFangsong" w:hAnsi="STFangsong" w:hint="eastAsia"/>
        </w:rPr>
        <w:t>心理</w:t>
      </w:r>
      <w:proofErr w:type="gramEnd"/>
      <w:r w:rsidR="005125C9">
        <w:rPr>
          <w:rFonts w:ascii="STFangsong" w:eastAsia="STFangsong" w:hAnsi="STFangsong" w:hint="eastAsia"/>
        </w:rPr>
        <w:t>中心</w:t>
      </w:r>
      <w:r>
        <w:rPr>
          <w:rFonts w:ascii="STFangsong" w:eastAsia="STFangsong" w:hAnsi="STFangsong" w:hint="eastAsia"/>
        </w:rPr>
        <w:t>研究生奖学金评选实施细则。</w:t>
      </w:r>
      <w:r w:rsidR="005125C9">
        <w:rPr>
          <w:rFonts w:ascii="STFangsong" w:eastAsia="STFangsong" w:hAnsi="STFangsong" w:hint="eastAsia"/>
        </w:rPr>
        <w:t>本细则</w:t>
      </w:r>
      <w:r w:rsidR="006F16E4">
        <w:rPr>
          <w:rFonts w:ascii="STFangsong" w:eastAsia="STFangsong" w:hAnsi="STFangsong" w:hint="eastAsia"/>
        </w:rPr>
        <w:t>仅</w:t>
      </w:r>
      <w:r w:rsidR="005125C9">
        <w:rPr>
          <w:rFonts w:ascii="STFangsong" w:eastAsia="STFangsong" w:hAnsi="STFangsong" w:hint="eastAsia"/>
        </w:rPr>
        <w:t>适用于201</w:t>
      </w:r>
      <w:r w:rsidR="004E6A25">
        <w:rPr>
          <w:rFonts w:ascii="STFangsong" w:eastAsia="STFangsong" w:hAnsi="STFangsong"/>
        </w:rPr>
        <w:t>9</w:t>
      </w:r>
      <w:r w:rsidR="005125C9">
        <w:rPr>
          <w:rFonts w:ascii="STFangsong" w:eastAsia="STFangsong" w:hAnsi="STFangsong" w:hint="eastAsia"/>
        </w:rPr>
        <w:t>级硕士研究生。</w:t>
      </w:r>
    </w:p>
    <w:p w14:paraId="20672D82" w14:textId="77777777" w:rsidR="00727DA5" w:rsidRDefault="00727DA5">
      <w:pPr>
        <w:snapToGrid w:val="0"/>
        <w:spacing w:line="240" w:lineRule="auto"/>
        <w:ind w:rightChars="100" w:right="240" w:firstLine="480"/>
        <w:rPr>
          <w:rFonts w:ascii="STFangsong" w:eastAsia="STFangsong" w:hAnsi="STFangsong" w:hint="eastAsia"/>
        </w:rPr>
      </w:pPr>
    </w:p>
    <w:p w14:paraId="28A37CC5" w14:textId="0955CE86" w:rsidR="00567723" w:rsidRDefault="006C3371" w:rsidP="005125C9">
      <w:pPr>
        <w:numPr>
          <w:ilvl w:val="0"/>
          <w:numId w:val="1"/>
        </w:numPr>
        <w:snapToGrid w:val="0"/>
        <w:spacing w:line="240" w:lineRule="auto"/>
        <w:ind w:rightChars="100" w:right="240" w:firstLine="561"/>
        <w:rPr>
          <w:rFonts w:ascii="STFangsong" w:eastAsia="STFangsong" w:hAnsi="STFangsong"/>
          <w:b/>
          <w:bCs/>
          <w:color w:val="000000"/>
          <w:sz w:val="28"/>
          <w:szCs w:val="28"/>
        </w:rPr>
      </w:pPr>
      <w:r>
        <w:rPr>
          <w:rFonts w:ascii="STFangsong" w:eastAsia="STFangsong" w:hAnsi="STFangsong" w:hint="eastAsia"/>
          <w:b/>
          <w:bCs/>
          <w:color w:val="000000"/>
          <w:sz w:val="28"/>
          <w:szCs w:val="28"/>
        </w:rPr>
        <w:t>研究生奖学金的评选对象</w:t>
      </w:r>
    </w:p>
    <w:p w14:paraId="22F64AE3" w14:textId="314984EE"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研究生奖学金的评选对象为心理研究与咨询中心在读且在基本学制年限内（硕士研究生评定和发放年限为3年）的全日制非定向研究生。</w:t>
      </w:r>
    </w:p>
    <w:p w14:paraId="6C7D7AD8" w14:textId="77777777" w:rsidR="00727DA5" w:rsidRDefault="00727DA5">
      <w:pPr>
        <w:snapToGrid w:val="0"/>
        <w:spacing w:line="240" w:lineRule="auto"/>
        <w:ind w:rightChars="100" w:right="240" w:firstLine="480"/>
        <w:rPr>
          <w:rFonts w:ascii="STFangsong" w:eastAsia="STFangsong" w:hAnsi="STFangsong" w:hint="eastAsia"/>
        </w:rPr>
      </w:pPr>
      <w:bookmarkStart w:id="0" w:name="_GoBack"/>
      <w:bookmarkEnd w:id="0"/>
    </w:p>
    <w:p w14:paraId="5DA3BE94" w14:textId="1B2957FF" w:rsidR="00567723" w:rsidRDefault="006C3371" w:rsidP="005125C9">
      <w:pPr>
        <w:snapToGrid w:val="0"/>
        <w:spacing w:line="240" w:lineRule="auto"/>
        <w:ind w:rightChars="100" w:right="240" w:firstLine="561"/>
        <w:rPr>
          <w:rFonts w:ascii="STFangsong" w:eastAsia="STFangsong" w:hAnsi="STFangsong"/>
          <w:b/>
          <w:bCs/>
          <w:color w:val="000000"/>
          <w:sz w:val="28"/>
          <w:szCs w:val="28"/>
        </w:rPr>
      </w:pPr>
      <w:r>
        <w:rPr>
          <w:rFonts w:ascii="STFangsong" w:eastAsia="STFangsong" w:hAnsi="STFangsong" w:hint="eastAsia"/>
          <w:b/>
          <w:bCs/>
          <w:color w:val="000000"/>
          <w:sz w:val="28"/>
          <w:szCs w:val="28"/>
        </w:rPr>
        <w:t>二、奖学金评选基本条件</w:t>
      </w:r>
    </w:p>
    <w:p w14:paraId="6DD324FB" w14:textId="06B3BB0A"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研究生奖学金的评选对象为</w:t>
      </w:r>
      <w:r w:rsidR="005125C9">
        <w:rPr>
          <w:rFonts w:ascii="STFangsong" w:eastAsia="STFangsong" w:hAnsi="STFangsong" w:hint="eastAsia"/>
        </w:rPr>
        <w:t>心理中心</w:t>
      </w:r>
      <w:r>
        <w:rPr>
          <w:rFonts w:ascii="STFangsong" w:eastAsia="STFangsong" w:hAnsi="STFangsong" w:hint="eastAsia"/>
        </w:rPr>
        <w:t>在读且基本学制年限内（硕士生评定和发放年限为3年，普通博士生评定和发放年限为4年；</w:t>
      </w:r>
      <w:proofErr w:type="gramStart"/>
      <w:r>
        <w:rPr>
          <w:rFonts w:ascii="STFangsong" w:eastAsia="STFangsong" w:hAnsi="STFangsong" w:hint="eastAsia"/>
        </w:rPr>
        <w:t>直博生</w:t>
      </w:r>
      <w:proofErr w:type="gramEnd"/>
      <w:r>
        <w:rPr>
          <w:rFonts w:ascii="STFangsong" w:eastAsia="STFangsong" w:hAnsi="STFangsong" w:hint="eastAsia"/>
        </w:rPr>
        <w:t>评定和发放年限为5年）的全日制非定向研究生。全日制学生身份以确认以档案按时转入学校为准，含少数民族骨干计划。</w:t>
      </w:r>
    </w:p>
    <w:p w14:paraId="583E9CA1" w14:textId="4F58200C"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1.获得研究生奖学金的基本条件为：</w:t>
      </w:r>
    </w:p>
    <w:p w14:paraId="750BB89B"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1）热爱社会主义祖国，拥护中国共产党的领导；</w:t>
      </w:r>
    </w:p>
    <w:p w14:paraId="5DB616A1"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2）遵守宪法和法律，遵守高等学校规章制度；</w:t>
      </w:r>
    </w:p>
    <w:p w14:paraId="2D8F164D"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3）诚实守信，道德品质优良；</w:t>
      </w:r>
    </w:p>
    <w:p w14:paraId="65574C75"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4）学习成绩优良，发展潜力突出。</w:t>
      </w:r>
    </w:p>
    <w:p w14:paraId="611CFF17" w14:textId="5A5447BF"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2.有以下情况之一的研究生，不能参评或者取消参评研究生奖学金资格：</w:t>
      </w:r>
    </w:p>
    <w:p w14:paraId="30730659"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1）参评学年内，违反法律、校纪校规受到校级警告及以上纪律处分的。</w:t>
      </w:r>
    </w:p>
    <w:p w14:paraId="47C75AE0"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2）违反学校学术道德规范有关规定，有剽窃、做假、提供虚假信息等学术行为不端的。</w:t>
      </w:r>
    </w:p>
    <w:p w14:paraId="45F61559"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3）参评学年内，培养方案所规定课程不及格的，或休学、退学的，超过规定学制年限的（参评学年内补考通过的课程，成绩按照60分计算）。</w:t>
      </w:r>
    </w:p>
    <w:p w14:paraId="0C9DC63C"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4）档案未按时转入我校者、不按时注册者、无故拖欠学费者及免</w:t>
      </w:r>
      <w:proofErr w:type="gramStart"/>
      <w:r>
        <w:rPr>
          <w:rFonts w:ascii="STFangsong" w:eastAsia="STFangsong" w:hAnsi="STFangsong" w:hint="eastAsia"/>
        </w:rPr>
        <w:t>研</w:t>
      </w:r>
      <w:proofErr w:type="gramEnd"/>
      <w:r>
        <w:rPr>
          <w:rFonts w:ascii="STFangsong" w:eastAsia="STFangsong" w:hAnsi="STFangsong" w:hint="eastAsia"/>
        </w:rPr>
        <w:t>辅导员、研究生支教团成员。</w:t>
      </w:r>
    </w:p>
    <w:p w14:paraId="1BCAA98A"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5）出国（境）交流研究生未按照要求每学期向所在</w:t>
      </w:r>
      <w:r w:rsidR="005125C9">
        <w:rPr>
          <w:rFonts w:ascii="STFangsong" w:eastAsia="STFangsong" w:hAnsi="STFangsong" w:hint="eastAsia"/>
        </w:rPr>
        <w:t>中心</w:t>
      </w:r>
      <w:r>
        <w:rPr>
          <w:rFonts w:ascii="STFangsong" w:eastAsia="STFangsong" w:hAnsi="STFangsong" w:hint="eastAsia"/>
        </w:rPr>
        <w:t>和国际处提交留学进度报告者。</w:t>
      </w:r>
    </w:p>
    <w:p w14:paraId="48D6E062"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6）外国留学研究生以及来自我国港、澳、台地区已享受其它资助的研究生。</w:t>
      </w:r>
    </w:p>
    <w:p w14:paraId="766AF3DA" w14:textId="01E775A5"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7）其他不适宜继续获取奖学金的行为或情况者。</w:t>
      </w:r>
    </w:p>
    <w:p w14:paraId="0019F3C0" w14:textId="40BE7635" w:rsidR="00567723" w:rsidRDefault="006C3371" w:rsidP="005125C9">
      <w:pPr>
        <w:snapToGrid w:val="0"/>
        <w:ind w:rightChars="100" w:right="240" w:firstLine="561"/>
        <w:rPr>
          <w:rFonts w:ascii="STFangsong" w:eastAsia="STFangsong" w:hAnsi="STFangsong"/>
          <w:b/>
          <w:bCs/>
          <w:color w:val="000000"/>
          <w:sz w:val="28"/>
          <w:szCs w:val="28"/>
        </w:rPr>
      </w:pPr>
      <w:r>
        <w:rPr>
          <w:rFonts w:ascii="STFangsong" w:eastAsia="STFangsong" w:hAnsi="STFangsong" w:hint="eastAsia"/>
          <w:b/>
          <w:bCs/>
          <w:color w:val="000000"/>
          <w:sz w:val="28"/>
          <w:szCs w:val="28"/>
        </w:rPr>
        <w:lastRenderedPageBreak/>
        <w:t>三、研究生奖学金设置及评选办法</w:t>
      </w:r>
    </w:p>
    <w:p w14:paraId="7EA8C278" w14:textId="77777777" w:rsidR="00567723" w:rsidRDefault="006C3371">
      <w:pPr>
        <w:spacing w:line="240" w:lineRule="auto"/>
        <w:ind w:firstLineChars="0" w:firstLine="480"/>
        <w:rPr>
          <w:rFonts w:ascii="STFangsong" w:eastAsia="STFangsong" w:hAnsi="STFangsong"/>
          <w:b/>
          <w:bCs/>
        </w:rPr>
      </w:pPr>
      <w:r>
        <w:rPr>
          <w:rFonts w:ascii="STFangsong" w:eastAsia="STFangsong" w:hAnsi="STFangsong" w:hint="eastAsia"/>
          <w:b/>
          <w:bCs/>
        </w:rPr>
        <w:t>1、奖励标准</w:t>
      </w:r>
    </w:p>
    <w:p w14:paraId="2B397EDE" w14:textId="0593C1F2"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 xml:space="preserve">研究生奖学金分为三个等级，各等级奖学金在每个年级的三个种类中按照下列人数比例评定: </w:t>
      </w:r>
    </w:p>
    <w:tbl>
      <w:tblPr>
        <w:tblStyle w:val="a7"/>
        <w:tblW w:w="8522" w:type="dxa"/>
        <w:tblLayout w:type="fixed"/>
        <w:tblLook w:val="04A0" w:firstRow="1" w:lastRow="0" w:firstColumn="1" w:lastColumn="0" w:noHBand="0" w:noVBand="1"/>
      </w:tblPr>
      <w:tblGrid>
        <w:gridCol w:w="2130"/>
        <w:gridCol w:w="2130"/>
        <w:gridCol w:w="2131"/>
        <w:gridCol w:w="2131"/>
      </w:tblGrid>
      <w:tr w:rsidR="00567723" w14:paraId="2453A368" w14:textId="77777777">
        <w:tc>
          <w:tcPr>
            <w:tcW w:w="2130" w:type="dxa"/>
            <w:vAlign w:val="center"/>
          </w:tcPr>
          <w:p w14:paraId="57C4C2EB"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类别</w:t>
            </w:r>
          </w:p>
        </w:tc>
        <w:tc>
          <w:tcPr>
            <w:tcW w:w="2130" w:type="dxa"/>
            <w:vAlign w:val="center"/>
          </w:tcPr>
          <w:p w14:paraId="32769B05"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等级</w:t>
            </w:r>
          </w:p>
        </w:tc>
        <w:tc>
          <w:tcPr>
            <w:tcW w:w="2131" w:type="dxa"/>
            <w:vAlign w:val="center"/>
          </w:tcPr>
          <w:p w14:paraId="0B25ED01"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额度</w:t>
            </w:r>
          </w:p>
          <w:p w14:paraId="4901FF34"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（万元）</w:t>
            </w:r>
          </w:p>
        </w:tc>
        <w:tc>
          <w:tcPr>
            <w:tcW w:w="2131" w:type="dxa"/>
            <w:vAlign w:val="center"/>
          </w:tcPr>
          <w:p w14:paraId="6CA83E70"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分配比例</w:t>
            </w:r>
          </w:p>
          <w:p w14:paraId="0D7032A5"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（百分比）</w:t>
            </w:r>
          </w:p>
        </w:tc>
      </w:tr>
      <w:tr w:rsidR="00567723" w14:paraId="7E92DA68" w14:textId="77777777">
        <w:tc>
          <w:tcPr>
            <w:tcW w:w="2130" w:type="dxa"/>
            <w:vMerge w:val="restart"/>
            <w:vAlign w:val="center"/>
          </w:tcPr>
          <w:p w14:paraId="37B0A0DA" w14:textId="3500DE28"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研究生奖</w:t>
            </w:r>
          </w:p>
          <w:p w14:paraId="0E179D65"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学金</w:t>
            </w:r>
          </w:p>
        </w:tc>
        <w:tc>
          <w:tcPr>
            <w:tcW w:w="2130" w:type="dxa"/>
            <w:vAlign w:val="center"/>
          </w:tcPr>
          <w:p w14:paraId="3AFDE922"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一等</w:t>
            </w:r>
          </w:p>
        </w:tc>
        <w:tc>
          <w:tcPr>
            <w:tcW w:w="2131" w:type="dxa"/>
            <w:vAlign w:val="center"/>
          </w:tcPr>
          <w:p w14:paraId="39E59518"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0.8</w:t>
            </w:r>
            <w:r w:rsidR="005A40A5">
              <w:rPr>
                <w:rFonts w:ascii="STFangsong" w:eastAsia="STFangsong" w:hAnsi="STFangsong" w:hint="eastAsia"/>
              </w:rPr>
              <w:t>5</w:t>
            </w:r>
          </w:p>
        </w:tc>
        <w:tc>
          <w:tcPr>
            <w:tcW w:w="2131" w:type="dxa"/>
            <w:vAlign w:val="center"/>
          </w:tcPr>
          <w:p w14:paraId="37958818" w14:textId="27ED796A" w:rsidR="00567723" w:rsidRDefault="005125C9" w:rsidP="005125C9">
            <w:pPr>
              <w:widowControl/>
              <w:spacing w:line="240" w:lineRule="auto"/>
              <w:ind w:firstLineChars="0" w:firstLine="0"/>
              <w:jc w:val="center"/>
              <w:rPr>
                <w:rFonts w:ascii="STFangsong" w:eastAsia="STFangsong" w:hAnsi="STFangsong"/>
              </w:rPr>
            </w:pPr>
            <w:r>
              <w:rPr>
                <w:rFonts w:ascii="STFangsong" w:eastAsia="STFangsong" w:hAnsi="STFangsong" w:hint="eastAsia"/>
              </w:rPr>
              <w:t>1</w:t>
            </w:r>
            <w:r w:rsidR="004E6A25">
              <w:rPr>
                <w:rFonts w:ascii="STFangsong" w:eastAsia="STFangsong" w:hAnsi="STFangsong"/>
              </w:rPr>
              <w:t>1</w:t>
            </w:r>
            <w:r w:rsidR="006C3371">
              <w:rPr>
                <w:rFonts w:ascii="STFangsong" w:eastAsia="STFangsong" w:hAnsi="STFangsong" w:hint="eastAsia"/>
              </w:rPr>
              <w:t>%</w:t>
            </w:r>
          </w:p>
        </w:tc>
      </w:tr>
      <w:tr w:rsidR="00567723" w14:paraId="2F36C994" w14:textId="77777777">
        <w:tc>
          <w:tcPr>
            <w:tcW w:w="2130" w:type="dxa"/>
            <w:vMerge/>
            <w:vAlign w:val="center"/>
          </w:tcPr>
          <w:p w14:paraId="62D1B1E1" w14:textId="77777777" w:rsidR="00567723" w:rsidRDefault="00567723">
            <w:pPr>
              <w:widowControl/>
              <w:spacing w:line="240" w:lineRule="auto"/>
              <w:ind w:firstLineChars="0" w:firstLine="0"/>
              <w:jc w:val="center"/>
              <w:rPr>
                <w:rFonts w:ascii="STFangsong" w:eastAsia="STFangsong" w:hAnsi="STFangsong"/>
              </w:rPr>
            </w:pPr>
          </w:p>
        </w:tc>
        <w:tc>
          <w:tcPr>
            <w:tcW w:w="2130" w:type="dxa"/>
            <w:vAlign w:val="center"/>
          </w:tcPr>
          <w:p w14:paraId="21A1E65F"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二等</w:t>
            </w:r>
          </w:p>
        </w:tc>
        <w:tc>
          <w:tcPr>
            <w:tcW w:w="2131" w:type="dxa"/>
            <w:vAlign w:val="center"/>
          </w:tcPr>
          <w:p w14:paraId="5B0F97FC"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0.5</w:t>
            </w:r>
          </w:p>
        </w:tc>
        <w:tc>
          <w:tcPr>
            <w:tcW w:w="2131" w:type="dxa"/>
            <w:vAlign w:val="center"/>
          </w:tcPr>
          <w:p w14:paraId="004697B6" w14:textId="124C54FA" w:rsidR="00567723" w:rsidRDefault="004E6A25">
            <w:pPr>
              <w:widowControl/>
              <w:spacing w:line="240" w:lineRule="auto"/>
              <w:ind w:firstLineChars="0" w:firstLine="0"/>
              <w:jc w:val="center"/>
              <w:rPr>
                <w:rFonts w:ascii="STFangsong" w:eastAsia="STFangsong" w:hAnsi="STFangsong"/>
              </w:rPr>
            </w:pPr>
            <w:r>
              <w:rPr>
                <w:rFonts w:ascii="STFangsong" w:eastAsia="STFangsong" w:hAnsi="STFangsong"/>
              </w:rPr>
              <w:t>33</w:t>
            </w:r>
            <w:r w:rsidR="006C3371">
              <w:rPr>
                <w:rFonts w:ascii="STFangsong" w:eastAsia="STFangsong" w:hAnsi="STFangsong" w:hint="eastAsia"/>
              </w:rPr>
              <w:t>%</w:t>
            </w:r>
          </w:p>
        </w:tc>
      </w:tr>
      <w:tr w:rsidR="00567723" w14:paraId="55122168" w14:textId="77777777">
        <w:tc>
          <w:tcPr>
            <w:tcW w:w="2130" w:type="dxa"/>
            <w:vMerge/>
            <w:vAlign w:val="center"/>
          </w:tcPr>
          <w:p w14:paraId="63E00FE7" w14:textId="77777777" w:rsidR="00567723" w:rsidRDefault="00567723">
            <w:pPr>
              <w:widowControl/>
              <w:spacing w:line="240" w:lineRule="auto"/>
              <w:ind w:firstLineChars="0" w:firstLine="0"/>
              <w:jc w:val="center"/>
              <w:rPr>
                <w:rFonts w:ascii="STFangsong" w:eastAsia="STFangsong" w:hAnsi="STFangsong"/>
              </w:rPr>
            </w:pPr>
          </w:p>
        </w:tc>
        <w:tc>
          <w:tcPr>
            <w:tcW w:w="2130" w:type="dxa"/>
            <w:vAlign w:val="center"/>
          </w:tcPr>
          <w:p w14:paraId="25CEF0AE" w14:textId="77777777"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三等</w:t>
            </w:r>
          </w:p>
        </w:tc>
        <w:tc>
          <w:tcPr>
            <w:tcW w:w="2131" w:type="dxa"/>
            <w:vAlign w:val="center"/>
          </w:tcPr>
          <w:p w14:paraId="0EF3FBEF" w14:textId="76162680" w:rsidR="00567723" w:rsidRDefault="006C3371">
            <w:pPr>
              <w:widowControl/>
              <w:spacing w:line="240" w:lineRule="auto"/>
              <w:ind w:firstLineChars="0" w:firstLine="0"/>
              <w:jc w:val="center"/>
              <w:rPr>
                <w:rFonts w:ascii="STFangsong" w:eastAsia="STFangsong" w:hAnsi="STFangsong"/>
              </w:rPr>
            </w:pPr>
            <w:r>
              <w:rPr>
                <w:rFonts w:ascii="STFangsong" w:eastAsia="STFangsong" w:hAnsi="STFangsong" w:hint="eastAsia"/>
              </w:rPr>
              <w:t>0.2</w:t>
            </w:r>
            <w:r w:rsidR="004E6A25">
              <w:rPr>
                <w:rFonts w:ascii="STFangsong" w:eastAsia="STFangsong" w:hAnsi="STFangsong"/>
              </w:rPr>
              <w:t>5</w:t>
            </w:r>
          </w:p>
        </w:tc>
        <w:tc>
          <w:tcPr>
            <w:tcW w:w="2131" w:type="dxa"/>
            <w:vAlign w:val="center"/>
          </w:tcPr>
          <w:p w14:paraId="4114C68F" w14:textId="5CFF7C82" w:rsidR="00567723" w:rsidRDefault="004E6A25" w:rsidP="005125C9">
            <w:pPr>
              <w:widowControl/>
              <w:spacing w:line="240" w:lineRule="auto"/>
              <w:ind w:firstLineChars="0" w:firstLine="0"/>
              <w:jc w:val="center"/>
              <w:rPr>
                <w:rFonts w:ascii="STFangsong" w:eastAsia="STFangsong" w:hAnsi="STFangsong"/>
              </w:rPr>
            </w:pPr>
            <w:r>
              <w:rPr>
                <w:rFonts w:ascii="STFangsong" w:eastAsia="STFangsong" w:hAnsi="STFangsong"/>
              </w:rPr>
              <w:t>56</w:t>
            </w:r>
            <w:r w:rsidR="006C3371">
              <w:rPr>
                <w:rFonts w:ascii="STFangsong" w:eastAsia="STFangsong" w:hAnsi="STFangsong" w:hint="eastAsia"/>
              </w:rPr>
              <w:t>%</w:t>
            </w:r>
          </w:p>
        </w:tc>
      </w:tr>
    </w:tbl>
    <w:p w14:paraId="33987B3B" w14:textId="77777777" w:rsidR="00567723" w:rsidRDefault="006C3371">
      <w:pPr>
        <w:numPr>
          <w:ilvl w:val="0"/>
          <w:numId w:val="2"/>
        </w:numPr>
        <w:spacing w:line="240" w:lineRule="auto"/>
        <w:ind w:firstLineChars="0" w:firstLine="480"/>
        <w:rPr>
          <w:rFonts w:ascii="STFangsong" w:eastAsia="STFangsong" w:hAnsi="STFangsong"/>
          <w:b/>
          <w:bCs/>
        </w:rPr>
      </w:pPr>
      <w:r>
        <w:rPr>
          <w:rFonts w:ascii="STFangsong" w:eastAsia="STFangsong" w:hAnsi="STFangsong" w:hint="eastAsia"/>
          <w:b/>
          <w:bCs/>
        </w:rPr>
        <w:t>评选办法</w:t>
      </w:r>
    </w:p>
    <w:p w14:paraId="7BBC6836" w14:textId="21164E7F" w:rsidR="00AB734F" w:rsidRDefault="006C3371" w:rsidP="00AB734F">
      <w:pPr>
        <w:snapToGrid w:val="0"/>
        <w:spacing w:line="240" w:lineRule="auto"/>
        <w:ind w:rightChars="100" w:right="240" w:firstLine="480"/>
        <w:rPr>
          <w:rFonts w:ascii="STFangsong" w:eastAsia="STFangsong" w:hAnsi="STFangsong"/>
        </w:rPr>
      </w:pPr>
      <w:r>
        <w:rPr>
          <w:rFonts w:ascii="STFangsong" w:eastAsia="STFangsong" w:hAnsi="STFangsong" w:hint="eastAsia"/>
        </w:rPr>
        <w:t>硕士生入学奖学金在硕士生入学前进行评选。</w:t>
      </w:r>
    </w:p>
    <w:p w14:paraId="05F6E166" w14:textId="510D741E" w:rsidR="00567723" w:rsidRDefault="006C3371" w:rsidP="00AB734F">
      <w:pPr>
        <w:snapToGrid w:val="0"/>
        <w:spacing w:line="240" w:lineRule="auto"/>
        <w:ind w:rightChars="100" w:right="240" w:firstLine="480"/>
        <w:rPr>
          <w:rFonts w:ascii="STFangsong" w:eastAsia="STFangsong" w:hAnsi="STFangsong"/>
        </w:rPr>
      </w:pPr>
      <w:r>
        <w:rPr>
          <w:rFonts w:ascii="STFangsong" w:eastAsia="STFangsong" w:hAnsi="STFangsong" w:hint="eastAsia"/>
        </w:rPr>
        <w:t>硕士生入学奖学金主要包括：一等奖学金、二等奖学金和三等奖学金。</w:t>
      </w:r>
    </w:p>
    <w:p w14:paraId="6B31AA3E" w14:textId="23ED96FC"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硕士生入学一等、二等、三等奖学金分入学类别（硕士生硕士新生根据入学类别分为推荐免试硕士研究生&lt;以下简称“推免生”&gt;和统招考试录取硕士研究生&lt;以下简称“统考生”&gt;）划分指标数，由</w:t>
      </w:r>
      <w:proofErr w:type="gramStart"/>
      <w:r w:rsidR="005125C9">
        <w:rPr>
          <w:rFonts w:ascii="STFangsong" w:eastAsia="STFangsong" w:hAnsi="STFangsong" w:hint="eastAsia"/>
        </w:rPr>
        <w:t>中心</w:t>
      </w:r>
      <w:r>
        <w:rPr>
          <w:rFonts w:ascii="STFangsong" w:eastAsia="STFangsong" w:hAnsi="STFangsong" w:hint="eastAsia"/>
        </w:rPr>
        <w:t>奖助工</w:t>
      </w:r>
      <w:proofErr w:type="gramEnd"/>
      <w:r>
        <w:rPr>
          <w:rFonts w:ascii="STFangsong" w:eastAsia="STFangsong" w:hAnsi="STFangsong" w:hint="eastAsia"/>
        </w:rPr>
        <w:t>作委员会综合考虑推免生、统考生的整体质量进行指标切分（原则上适当向推免生倾斜），原则上在各类别内按专业人数比例分专业划分指标。最终指标划分方案由</w:t>
      </w:r>
      <w:r w:rsidR="005125C9">
        <w:rPr>
          <w:rFonts w:ascii="STFangsong" w:eastAsia="STFangsong" w:hAnsi="STFangsong" w:hint="eastAsia"/>
        </w:rPr>
        <w:t>中心</w:t>
      </w:r>
      <w:r w:rsidR="005125C9" w:rsidRPr="005125C9">
        <w:rPr>
          <w:rFonts w:ascii="STFangsong" w:eastAsia="STFangsong" w:hAnsi="STFangsong" w:hint="eastAsia"/>
        </w:rPr>
        <w:t>研究生奖助学金评定委员会</w:t>
      </w:r>
      <w:r>
        <w:rPr>
          <w:rFonts w:ascii="STFangsong" w:eastAsia="STFangsong" w:hAnsi="STFangsong" w:hint="eastAsia"/>
        </w:rPr>
        <w:t>审定。</w:t>
      </w:r>
    </w:p>
    <w:p w14:paraId="6B5D0275" w14:textId="77777777" w:rsidR="00567723" w:rsidRDefault="005125C9">
      <w:pPr>
        <w:snapToGrid w:val="0"/>
        <w:spacing w:line="240" w:lineRule="auto"/>
        <w:ind w:rightChars="100" w:right="240" w:firstLine="480"/>
        <w:rPr>
          <w:rFonts w:ascii="STFangsong" w:eastAsia="STFangsong" w:hAnsi="STFangsong"/>
        </w:rPr>
      </w:pPr>
      <w:r>
        <w:rPr>
          <w:rFonts w:ascii="STFangsong" w:eastAsia="STFangsong" w:hAnsi="STFangsong" w:hint="eastAsia"/>
        </w:rPr>
        <w:t>中心</w:t>
      </w:r>
      <w:r w:rsidR="006C3371">
        <w:rPr>
          <w:rFonts w:ascii="STFangsong" w:eastAsia="STFangsong" w:hAnsi="STFangsong" w:hint="eastAsia"/>
        </w:rPr>
        <w:t>依据“综合成绩”排序依次确定奖学金等级，在全</w:t>
      </w:r>
      <w:r w:rsidR="00AB734F">
        <w:rPr>
          <w:rFonts w:ascii="STFangsong" w:eastAsia="STFangsong" w:hAnsi="STFangsong" w:hint="eastAsia"/>
        </w:rPr>
        <w:t>中心</w:t>
      </w:r>
      <w:r w:rsidR="006C3371">
        <w:rPr>
          <w:rFonts w:ascii="STFangsong" w:eastAsia="STFangsong" w:hAnsi="STFangsong" w:hint="eastAsia"/>
        </w:rPr>
        <w:t>范围内公示无异议后报学校研究生院审定。</w:t>
      </w:r>
    </w:p>
    <w:p w14:paraId="6A343F1B" w14:textId="77777777"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统考生综合成绩计算办法如下：</w:t>
      </w:r>
    </w:p>
    <w:p w14:paraId="7165F1B5" w14:textId="44557FCB"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综合成绩=初试总成绩/5*</w:t>
      </w:r>
      <w:r w:rsidR="004E6A25">
        <w:rPr>
          <w:rFonts w:ascii="STFangsong" w:eastAsia="STFangsong" w:hAnsi="STFangsong"/>
        </w:rPr>
        <w:t>5</w:t>
      </w:r>
      <w:r>
        <w:rPr>
          <w:rFonts w:ascii="STFangsong" w:eastAsia="STFangsong" w:hAnsi="STFangsong" w:hint="eastAsia"/>
        </w:rPr>
        <w:t>0%+复试成绩（百分制）*</w:t>
      </w:r>
      <w:r w:rsidR="004E6A25">
        <w:rPr>
          <w:rFonts w:ascii="STFangsong" w:eastAsia="STFangsong" w:hAnsi="STFangsong"/>
        </w:rPr>
        <w:t>5</w:t>
      </w:r>
      <w:r>
        <w:rPr>
          <w:rFonts w:ascii="STFangsong" w:eastAsia="STFangsong" w:hAnsi="STFangsong" w:hint="eastAsia"/>
        </w:rPr>
        <w:t>0%。</w:t>
      </w:r>
    </w:p>
    <w:p w14:paraId="4A1F45C6" w14:textId="77777777" w:rsidR="00AB734F" w:rsidRDefault="00AB734F">
      <w:pPr>
        <w:snapToGrid w:val="0"/>
        <w:spacing w:line="240" w:lineRule="auto"/>
        <w:ind w:rightChars="100" w:right="240" w:firstLine="480"/>
        <w:rPr>
          <w:rFonts w:ascii="STFangsong" w:eastAsia="STFangsong" w:hAnsi="STFangsong"/>
        </w:rPr>
      </w:pPr>
    </w:p>
    <w:p w14:paraId="2CC4A216" w14:textId="1BEEE47C" w:rsidR="00567723" w:rsidRDefault="006C3371">
      <w:pPr>
        <w:snapToGrid w:val="0"/>
        <w:spacing w:line="240" w:lineRule="auto"/>
        <w:ind w:rightChars="100" w:right="240" w:firstLine="480"/>
        <w:rPr>
          <w:rFonts w:ascii="STFangsong" w:eastAsia="STFangsong" w:hAnsi="STFangsong"/>
        </w:rPr>
      </w:pPr>
      <w:r>
        <w:rPr>
          <w:rFonts w:ascii="STFangsong" w:eastAsia="STFangsong" w:hAnsi="STFangsong" w:hint="eastAsia"/>
        </w:rPr>
        <w:t>对评审结果有异议者，可在</w:t>
      </w:r>
      <w:r w:rsidR="005125C9">
        <w:rPr>
          <w:rFonts w:ascii="STFangsong" w:eastAsia="STFangsong" w:hAnsi="STFangsong" w:hint="eastAsia"/>
        </w:rPr>
        <w:t>中心</w:t>
      </w:r>
      <w:r>
        <w:rPr>
          <w:rFonts w:ascii="STFangsong" w:eastAsia="STFangsong" w:hAnsi="STFangsong" w:hint="eastAsia"/>
        </w:rPr>
        <w:t>公示阶段，向</w:t>
      </w:r>
      <w:proofErr w:type="gramStart"/>
      <w:r w:rsidR="005125C9">
        <w:rPr>
          <w:rFonts w:ascii="STFangsong" w:eastAsia="STFangsong" w:hAnsi="STFangsong" w:hint="eastAsia"/>
        </w:rPr>
        <w:t>中心</w:t>
      </w:r>
      <w:r>
        <w:rPr>
          <w:rFonts w:ascii="STFangsong" w:eastAsia="STFangsong" w:hAnsi="STFangsong" w:hint="eastAsia"/>
        </w:rPr>
        <w:t>奖助工</w:t>
      </w:r>
      <w:proofErr w:type="gramEnd"/>
      <w:r>
        <w:rPr>
          <w:rFonts w:ascii="STFangsong" w:eastAsia="STFangsong" w:hAnsi="STFangsong" w:hint="eastAsia"/>
        </w:rPr>
        <w:t>作委员会提出申诉。</w:t>
      </w:r>
      <w:proofErr w:type="gramStart"/>
      <w:r w:rsidR="005125C9">
        <w:rPr>
          <w:rFonts w:ascii="STFangsong" w:eastAsia="STFangsong" w:hAnsi="STFangsong" w:hint="eastAsia"/>
        </w:rPr>
        <w:t>中心</w:t>
      </w:r>
      <w:r>
        <w:rPr>
          <w:rFonts w:ascii="STFangsong" w:eastAsia="STFangsong" w:hAnsi="STFangsong" w:hint="eastAsia"/>
        </w:rPr>
        <w:t>奖助工</w:t>
      </w:r>
      <w:proofErr w:type="gramEnd"/>
      <w:r>
        <w:rPr>
          <w:rFonts w:ascii="STFangsong" w:eastAsia="STFangsong" w:hAnsi="STFangsong" w:hint="eastAsia"/>
        </w:rPr>
        <w:t>作委员会应在</w:t>
      </w:r>
      <w:r w:rsidR="009F5476">
        <w:rPr>
          <w:rFonts w:ascii="STFangsong" w:eastAsia="STFangsong" w:hAnsi="STFangsong" w:hint="eastAsia"/>
        </w:rPr>
        <w:t>三</w:t>
      </w:r>
      <w:r>
        <w:rPr>
          <w:rFonts w:ascii="STFangsong" w:eastAsia="STFangsong" w:hAnsi="STFangsong" w:hint="eastAsia"/>
        </w:rPr>
        <w:t>个工作日内予以答复。如申诉人对本</w:t>
      </w:r>
      <w:r w:rsidR="005125C9">
        <w:rPr>
          <w:rFonts w:ascii="STFangsong" w:eastAsia="STFangsong" w:hAnsi="STFangsong" w:hint="eastAsia"/>
        </w:rPr>
        <w:t>中心</w:t>
      </w:r>
      <w:r>
        <w:rPr>
          <w:rFonts w:ascii="STFangsong" w:eastAsia="STFangsong" w:hAnsi="STFangsong" w:hint="eastAsia"/>
        </w:rPr>
        <w:t>的答复仍存在异议，可在学校公示阶段，向研究生院综合管理办公室提交书面申诉材料。</w:t>
      </w:r>
    </w:p>
    <w:p w14:paraId="0E8AE1B7" w14:textId="36CADAFB" w:rsidR="00567723" w:rsidRDefault="00567723">
      <w:pPr>
        <w:snapToGrid w:val="0"/>
        <w:spacing w:line="240" w:lineRule="auto"/>
        <w:ind w:rightChars="100" w:right="240" w:firstLine="480"/>
        <w:rPr>
          <w:rFonts w:ascii="STFangsong" w:eastAsia="STFangsong" w:hAnsi="STFangsong"/>
        </w:rPr>
      </w:pPr>
    </w:p>
    <w:p w14:paraId="1F3FA581" w14:textId="59259C7E" w:rsidR="00FB2F54" w:rsidRDefault="00FB2F54">
      <w:pPr>
        <w:snapToGrid w:val="0"/>
        <w:spacing w:line="240" w:lineRule="auto"/>
        <w:ind w:rightChars="100" w:right="240" w:firstLine="480"/>
        <w:rPr>
          <w:rFonts w:ascii="STFangsong" w:eastAsia="STFangsong" w:hAnsi="STFangsong"/>
        </w:rPr>
      </w:pPr>
      <w:r>
        <w:rPr>
          <w:rFonts w:ascii="STFangsong" w:eastAsia="STFangsong" w:hAnsi="STFangsong" w:hint="eastAsia"/>
        </w:rPr>
        <w:t>本细则自</w:t>
      </w:r>
      <w:r>
        <w:rPr>
          <w:rFonts w:ascii="STFangsong" w:eastAsia="STFangsong" w:hAnsi="STFangsong"/>
        </w:rPr>
        <w:t>201</w:t>
      </w:r>
      <w:r w:rsidR="004E6A25">
        <w:rPr>
          <w:rFonts w:ascii="STFangsong" w:eastAsia="STFangsong" w:hAnsi="STFangsong"/>
        </w:rPr>
        <w:t>9</w:t>
      </w:r>
      <w:r>
        <w:rPr>
          <w:rFonts w:ascii="STFangsong" w:eastAsia="STFangsong" w:hAnsi="STFangsong"/>
        </w:rPr>
        <w:t>年7月</w:t>
      </w:r>
      <w:r w:rsidR="004E6A25">
        <w:rPr>
          <w:rFonts w:ascii="STFangsong" w:eastAsia="STFangsong" w:hAnsi="STFangsong"/>
        </w:rPr>
        <w:t>1</w:t>
      </w:r>
      <w:r>
        <w:rPr>
          <w:rFonts w:ascii="STFangsong" w:eastAsia="STFangsong" w:hAnsi="STFangsong"/>
        </w:rPr>
        <w:t>日</w:t>
      </w:r>
      <w:r>
        <w:rPr>
          <w:rFonts w:ascii="STFangsong" w:eastAsia="STFangsong" w:hAnsi="STFangsong" w:hint="eastAsia"/>
        </w:rPr>
        <w:t>开始实行，解释权在心理研究与咨询中心。</w:t>
      </w:r>
    </w:p>
    <w:p w14:paraId="5F56E26E" w14:textId="23398887" w:rsidR="00FB2F54" w:rsidRDefault="00FB2F54">
      <w:pPr>
        <w:snapToGrid w:val="0"/>
        <w:spacing w:line="240" w:lineRule="auto"/>
        <w:ind w:rightChars="100" w:right="240" w:firstLine="480"/>
        <w:rPr>
          <w:rFonts w:ascii="STFangsong" w:eastAsia="STFangsong" w:hAnsi="STFangsong"/>
        </w:rPr>
      </w:pPr>
    </w:p>
    <w:p w14:paraId="71377277" w14:textId="4868FBB3" w:rsidR="00FB2F54" w:rsidRPr="00FB2F54" w:rsidRDefault="00FB2F54">
      <w:pPr>
        <w:snapToGrid w:val="0"/>
        <w:spacing w:line="240" w:lineRule="auto"/>
        <w:ind w:rightChars="100" w:right="240" w:firstLine="480"/>
        <w:rPr>
          <w:rFonts w:ascii="STFangsong" w:eastAsia="STFangsong" w:hAnsi="STFangsong"/>
        </w:rPr>
      </w:pPr>
      <w:r>
        <w:rPr>
          <w:rFonts w:ascii="STFangsong" w:eastAsia="STFangsong" w:hAnsi="STFangsong" w:hint="eastAsia"/>
        </w:rPr>
        <w:t xml:space="preserve"> </w:t>
      </w:r>
      <w:r>
        <w:rPr>
          <w:rFonts w:ascii="STFangsong" w:eastAsia="STFangsong" w:hAnsi="STFangsong"/>
        </w:rPr>
        <w:t xml:space="preserve">                       </w:t>
      </w:r>
      <w:r>
        <w:rPr>
          <w:rFonts w:ascii="STFangsong" w:eastAsia="STFangsong" w:hAnsi="STFangsong" w:hint="eastAsia"/>
        </w:rPr>
        <w:t>西南交通大学心理研究与咨询中心</w:t>
      </w:r>
    </w:p>
    <w:p w14:paraId="0101D40B" w14:textId="77777777" w:rsidR="00567723" w:rsidRDefault="00567723">
      <w:pPr>
        <w:ind w:firstLineChars="0" w:firstLine="481"/>
        <w:rPr>
          <w:rFonts w:ascii="STFangsong" w:eastAsia="STFangsong" w:hAnsi="STFangsong"/>
        </w:rPr>
      </w:pPr>
    </w:p>
    <w:sectPr w:rsidR="005677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D428" w14:textId="77777777" w:rsidR="00C76A94" w:rsidRDefault="00C76A94" w:rsidP="005125C9">
      <w:pPr>
        <w:spacing w:line="240" w:lineRule="auto"/>
        <w:ind w:firstLine="480"/>
      </w:pPr>
      <w:r>
        <w:separator/>
      </w:r>
    </w:p>
  </w:endnote>
  <w:endnote w:type="continuationSeparator" w:id="0">
    <w:p w14:paraId="186F872D" w14:textId="77777777" w:rsidR="00C76A94" w:rsidRDefault="00C76A94" w:rsidP="005125C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Fangsong">
    <w:altName w:val="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0AA4" w14:textId="77777777" w:rsidR="005125C9" w:rsidRDefault="005125C9" w:rsidP="005125C9">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3AEC" w14:textId="77777777" w:rsidR="005125C9" w:rsidRDefault="005125C9" w:rsidP="005125C9">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D1BE" w14:textId="77777777" w:rsidR="005125C9" w:rsidRDefault="005125C9" w:rsidP="005125C9">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C61B" w14:textId="77777777" w:rsidR="00C76A94" w:rsidRDefault="00C76A94" w:rsidP="005125C9">
      <w:pPr>
        <w:spacing w:line="240" w:lineRule="auto"/>
        <w:ind w:firstLine="480"/>
      </w:pPr>
      <w:r>
        <w:separator/>
      </w:r>
    </w:p>
  </w:footnote>
  <w:footnote w:type="continuationSeparator" w:id="0">
    <w:p w14:paraId="740FF282" w14:textId="77777777" w:rsidR="00C76A94" w:rsidRDefault="00C76A94" w:rsidP="005125C9">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7B5C" w14:textId="77777777" w:rsidR="005125C9" w:rsidRDefault="005125C9" w:rsidP="005125C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6C26" w14:textId="77777777" w:rsidR="005125C9" w:rsidRDefault="005125C9" w:rsidP="005125C9">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FDA2" w14:textId="77777777" w:rsidR="005125C9" w:rsidRDefault="005125C9" w:rsidP="005125C9">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32E42"/>
    <w:multiLevelType w:val="singleLevel"/>
    <w:tmpl w:val="59632E42"/>
    <w:lvl w:ilvl="0">
      <w:start w:val="1"/>
      <w:numFmt w:val="chineseCounting"/>
      <w:suff w:val="nothing"/>
      <w:lvlText w:val="%1、"/>
      <w:lvlJc w:val="left"/>
    </w:lvl>
  </w:abstractNum>
  <w:abstractNum w:abstractNumId="1" w15:restartNumberingAfterBreak="0">
    <w:nsid w:val="59633186"/>
    <w:multiLevelType w:val="singleLevel"/>
    <w:tmpl w:val="59633186"/>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F51185"/>
    <w:rsid w:val="00091127"/>
    <w:rsid w:val="002207C7"/>
    <w:rsid w:val="00294315"/>
    <w:rsid w:val="0032117C"/>
    <w:rsid w:val="004E6A25"/>
    <w:rsid w:val="005125C9"/>
    <w:rsid w:val="00567723"/>
    <w:rsid w:val="005A40A5"/>
    <w:rsid w:val="005F3680"/>
    <w:rsid w:val="005F79B2"/>
    <w:rsid w:val="006C3371"/>
    <w:rsid w:val="006F16E4"/>
    <w:rsid w:val="00700586"/>
    <w:rsid w:val="00712E11"/>
    <w:rsid w:val="00727DA5"/>
    <w:rsid w:val="00776D30"/>
    <w:rsid w:val="007C189A"/>
    <w:rsid w:val="007F1174"/>
    <w:rsid w:val="009F5476"/>
    <w:rsid w:val="00AB734F"/>
    <w:rsid w:val="00B3598B"/>
    <w:rsid w:val="00BE4004"/>
    <w:rsid w:val="00BF1E8A"/>
    <w:rsid w:val="00C76A94"/>
    <w:rsid w:val="00EF41D0"/>
    <w:rsid w:val="00FB2F54"/>
    <w:rsid w:val="02F5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C480A"/>
  <w15:docId w15:val="{1197B1FD-95FA-4449-86F1-E64C453C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ind w:firstLineChars="200" w:firstLine="200"/>
    </w:pPr>
    <w:rPr>
      <w:rFonts w:cstheme="majorBidi"/>
      <w:color w:val="000000" w:themeColor="text1"/>
      <w:sz w:val="24"/>
      <w:szCs w:val="22"/>
    </w:rPr>
  </w:style>
  <w:style w:type="paragraph" w:styleId="1">
    <w:name w:val="heading 1"/>
    <w:basedOn w:val="a"/>
    <w:next w:val="a"/>
    <w:qFormat/>
    <w:pPr>
      <w:spacing w:before="120" w:after="120" w:line="300" w:lineRule="auto"/>
      <w:ind w:firstLineChars="0" w:firstLine="0"/>
      <w:contextualSpacing/>
      <w:jc w:val="center"/>
      <w:outlineLvl w:val="0"/>
    </w:pPr>
    <w:rPr>
      <w:b/>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rFonts w:cs="Times New Roman"/>
    </w:rPr>
  </w:style>
  <w:style w:type="character" w:styleId="a4">
    <w:name w:val="FollowedHyperlink"/>
    <w:basedOn w:val="a0"/>
    <w:rPr>
      <w:color w:val="800080"/>
      <w:u w:val="none"/>
    </w:rPr>
  </w:style>
  <w:style w:type="character" w:styleId="a5">
    <w:name w:val="Emphasis"/>
    <w:basedOn w:val="a0"/>
    <w:qFormat/>
  </w:style>
  <w:style w:type="character" w:styleId="HTML">
    <w:name w:val="HTML Definition"/>
    <w:basedOn w:val="a0"/>
  </w:style>
  <w:style w:type="character" w:styleId="HTML0">
    <w:name w:val="HTML Variable"/>
    <w:basedOn w:val="a0"/>
  </w:style>
  <w:style w:type="character" w:styleId="a6">
    <w:name w:val="Hyperlink"/>
    <w:basedOn w:val="a0"/>
    <w:rPr>
      <w:color w:val="0000FF"/>
      <w:u w:val="none"/>
    </w:rPr>
  </w:style>
  <w:style w:type="character" w:styleId="HTML1">
    <w:name w:val="HTML Code"/>
    <w:basedOn w:val="a0"/>
    <w:rPr>
      <w:rFonts w:ascii="Courier New" w:hAnsi="Courier New"/>
      <w:sz w:val="20"/>
    </w:rPr>
  </w:style>
  <w:style w:type="character" w:styleId="HTML2">
    <w:name w:val="HTML Cite"/>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smore">
    <w:name w:val="bds_more"/>
    <w:basedOn w:val="a0"/>
    <w:rPr>
      <w:rFonts w:ascii="宋体" w:eastAsia="宋体" w:hAnsi="宋体" w:cs="宋体" w:hint="eastAsia"/>
      <w:bdr w:val="none" w:sz="0" w:space="0" w:color="auto"/>
    </w:rPr>
  </w:style>
  <w:style w:type="character" w:customStyle="1" w:styleId="bdsmore1">
    <w:name w:val="bds_more1"/>
    <w:basedOn w:val="a0"/>
    <w:rPr>
      <w:bdr w:val="none" w:sz="0" w:space="0" w:color="auto"/>
    </w:rPr>
  </w:style>
  <w:style w:type="character" w:customStyle="1" w:styleId="bdsmore2">
    <w:name w:val="bds_more2"/>
    <w:basedOn w:val="a0"/>
    <w:rPr>
      <w:bdr w:val="none" w:sz="0" w:space="0" w:color="auto"/>
    </w:rPr>
  </w:style>
  <w:style w:type="character" w:customStyle="1" w:styleId="bdsnopic">
    <w:name w:val="bds_nopic"/>
    <w:basedOn w:val="a0"/>
  </w:style>
  <w:style w:type="character" w:customStyle="1" w:styleId="bdsnopic1">
    <w:name w:val="bds_nopic1"/>
    <w:basedOn w:val="a0"/>
  </w:style>
  <w:style w:type="character" w:customStyle="1" w:styleId="bdsnopic2">
    <w:name w:val="bds_nopic2"/>
    <w:basedOn w:val="a0"/>
  </w:style>
  <w:style w:type="paragraph" w:styleId="a8">
    <w:name w:val="header"/>
    <w:basedOn w:val="a"/>
    <w:link w:val="a9"/>
    <w:rsid w:val="005125C9"/>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rsid w:val="005125C9"/>
    <w:rPr>
      <w:rFonts w:cstheme="majorBidi"/>
      <w:color w:val="000000" w:themeColor="text1"/>
      <w:sz w:val="18"/>
      <w:szCs w:val="18"/>
    </w:rPr>
  </w:style>
  <w:style w:type="paragraph" w:styleId="aa">
    <w:name w:val="footer"/>
    <w:basedOn w:val="a"/>
    <w:link w:val="ab"/>
    <w:rsid w:val="005125C9"/>
    <w:pPr>
      <w:tabs>
        <w:tab w:val="center" w:pos="4153"/>
        <w:tab w:val="right" w:pos="8306"/>
      </w:tabs>
      <w:snapToGrid w:val="0"/>
      <w:spacing w:line="240" w:lineRule="auto"/>
    </w:pPr>
    <w:rPr>
      <w:sz w:val="18"/>
      <w:szCs w:val="18"/>
    </w:rPr>
  </w:style>
  <w:style w:type="character" w:customStyle="1" w:styleId="ab">
    <w:name w:val="页脚 字符"/>
    <w:basedOn w:val="a0"/>
    <w:link w:val="aa"/>
    <w:rsid w:val="005125C9"/>
    <w:rPr>
      <w:rFonts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Xiao Fang</cp:lastModifiedBy>
  <cp:revision>17</cp:revision>
  <cp:lastPrinted>2017-07-10T23:49:00Z</cp:lastPrinted>
  <dcterms:created xsi:type="dcterms:W3CDTF">2017-07-10T07:02:00Z</dcterms:created>
  <dcterms:modified xsi:type="dcterms:W3CDTF">2019-07-04T05:15:00Z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